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48" w:rsidRPr="00C36CB2" w:rsidRDefault="002A2C20" w:rsidP="00C36CB2">
      <w:pPr>
        <w:jc w:val="center"/>
        <w:rPr>
          <w:b/>
          <w:sz w:val="28"/>
          <w:szCs w:val="28"/>
        </w:rPr>
      </w:pPr>
      <w:r w:rsidRPr="00C36CB2">
        <w:rPr>
          <w:b/>
          <w:sz w:val="28"/>
          <w:szCs w:val="28"/>
        </w:rPr>
        <w:t>Beszámoló a női válogatott 201</w:t>
      </w:r>
      <w:r w:rsidR="00B22DEC">
        <w:rPr>
          <w:b/>
          <w:sz w:val="28"/>
          <w:szCs w:val="28"/>
        </w:rPr>
        <w:t>9</w:t>
      </w:r>
      <w:r w:rsidRPr="00C36CB2">
        <w:rPr>
          <w:b/>
          <w:sz w:val="28"/>
          <w:szCs w:val="28"/>
        </w:rPr>
        <w:t>. évi EB szerepléséről</w:t>
      </w:r>
    </w:p>
    <w:p w:rsidR="002A2C20" w:rsidRDefault="002A2C20"/>
    <w:p w:rsidR="002A2C20" w:rsidRDefault="002A2C20">
      <w:r>
        <w:t>Készítette: Palancsa Zoltán</w:t>
      </w:r>
    </w:p>
    <w:p w:rsidR="002A2C20" w:rsidRDefault="002A2C20"/>
    <w:p w:rsidR="002A2C20" w:rsidRDefault="002A2C20" w:rsidP="002A2C20">
      <w:pPr>
        <w:pStyle w:val="Listaszerbekezds"/>
        <w:numPr>
          <w:ilvl w:val="0"/>
          <w:numId w:val="1"/>
        </w:numPr>
      </w:pPr>
      <w:r>
        <w:t>Előzmények, felkészülés</w:t>
      </w:r>
    </w:p>
    <w:p w:rsidR="002A2C20" w:rsidRDefault="002A2C20" w:rsidP="002A2C20">
      <w:pPr>
        <w:jc w:val="both"/>
      </w:pPr>
      <w:r>
        <w:t xml:space="preserve">Az UTE </w:t>
      </w:r>
      <w:r w:rsidR="00575A9D">
        <w:t>Team Palancsa</w:t>
      </w:r>
      <w:r>
        <w:t xml:space="preserve">– az előző évi EB </w:t>
      </w:r>
      <w:r w:rsidR="00575A9D">
        <w:t>szereplést</w:t>
      </w:r>
      <w:r>
        <w:t xml:space="preserve"> követően – </w:t>
      </w:r>
      <w:proofErr w:type="gramStart"/>
      <w:r>
        <w:t>201</w:t>
      </w:r>
      <w:r w:rsidR="00B22DEC">
        <w:t>9</w:t>
      </w:r>
      <w:r>
        <w:t>. tavas</w:t>
      </w:r>
      <w:r w:rsidR="003F4086">
        <w:t>zán</w:t>
      </w:r>
      <w:proofErr w:type="gramEnd"/>
      <w:r>
        <w:t xml:space="preserve"> </w:t>
      </w:r>
      <w:r w:rsidR="00575A9D">
        <w:t xml:space="preserve">ismét </w:t>
      </w:r>
      <w:r>
        <w:t xml:space="preserve">megvédte bajnoki címét, így </w:t>
      </w:r>
      <w:r w:rsidR="00250596">
        <w:t xml:space="preserve">indulási jogot </w:t>
      </w:r>
      <w:r>
        <w:t>szerzett a</w:t>
      </w:r>
      <w:r w:rsidR="00250596">
        <w:t xml:space="preserve"> svédországi </w:t>
      </w:r>
      <w:proofErr w:type="spellStart"/>
      <w:r w:rsidR="00250596">
        <w:t>Helsingborg</w:t>
      </w:r>
      <w:proofErr w:type="spellEnd"/>
      <w:r w:rsidR="00250596">
        <w:t xml:space="preserve"> városában megrendezésre kerülő „B” csoportos</w:t>
      </w:r>
      <w:r>
        <w:t xml:space="preserve"> </w:t>
      </w:r>
      <w:proofErr w:type="spellStart"/>
      <w:r>
        <w:t>EB</w:t>
      </w:r>
      <w:r w:rsidR="00250596">
        <w:t>-re</w:t>
      </w:r>
      <w:proofErr w:type="spellEnd"/>
      <w:r>
        <w:t>.</w:t>
      </w:r>
    </w:p>
    <w:p w:rsidR="00B22DEC" w:rsidRDefault="00575A9D" w:rsidP="002A2C20">
      <w:pPr>
        <w:jc w:val="both"/>
      </w:pPr>
      <w:r>
        <w:t xml:space="preserve">5 fős keretre tettem javaslatot </w:t>
      </w:r>
      <w:r w:rsidR="002A2C20">
        <w:t>az OB-t követően</w:t>
      </w:r>
      <w:r w:rsidR="00B22DEC">
        <w:t xml:space="preserve"> - miután </w:t>
      </w:r>
      <w:proofErr w:type="spellStart"/>
      <w:r w:rsidR="00B22DEC">
        <w:t>Rókusfalvy</w:t>
      </w:r>
      <w:proofErr w:type="spellEnd"/>
      <w:r w:rsidR="00B22DEC">
        <w:t xml:space="preserve"> Orsi jelezte, hogy gyermeket vár, a junior korú Hamvas Villővel egészült ki az </w:t>
      </w:r>
      <w:proofErr w:type="spellStart"/>
      <w:r w:rsidR="00B22DEC">
        <w:t>EB</w:t>
      </w:r>
      <w:r w:rsidR="003F4086">
        <w:t>-re</w:t>
      </w:r>
      <w:proofErr w:type="spellEnd"/>
      <w:r w:rsidR="00B22DEC">
        <w:t xml:space="preserve"> </w:t>
      </w:r>
      <w:r w:rsidR="003F4086">
        <w:t>készülő</w:t>
      </w:r>
      <w:r w:rsidR="00B22DEC">
        <w:t xml:space="preserve"> keret. Villővel már ősszel megkezdtük a közös munkát, de az </w:t>
      </w:r>
      <w:proofErr w:type="spellStart"/>
      <w:r w:rsidR="00B22DEC">
        <w:t>OB-n</w:t>
      </w:r>
      <w:proofErr w:type="spellEnd"/>
      <w:r w:rsidR="00B22DEC">
        <w:t xml:space="preserve"> még a</w:t>
      </w:r>
      <w:r w:rsidR="004C4177">
        <w:t>z UTE</w:t>
      </w:r>
      <w:r w:rsidR="00B22DEC">
        <w:t xml:space="preserve"> </w:t>
      </w:r>
      <w:proofErr w:type="spellStart"/>
      <w:r w:rsidR="00B22DEC">
        <w:t>Four</w:t>
      </w:r>
      <w:proofErr w:type="spellEnd"/>
      <w:r w:rsidR="00B22DEC">
        <w:t xml:space="preserve"> </w:t>
      </w:r>
      <w:proofErr w:type="spellStart"/>
      <w:r w:rsidR="00B22DEC">
        <w:t>Four</w:t>
      </w:r>
      <w:proofErr w:type="spellEnd"/>
      <w:r w:rsidR="00B22DEC">
        <w:t xml:space="preserve"> női csapattal indult, hogy minél több játéklehetőséget kapjon.</w:t>
      </w:r>
    </w:p>
    <w:p w:rsidR="00B22DEC" w:rsidRDefault="00B22DEC" w:rsidP="00B22DEC">
      <w:pPr>
        <w:spacing w:after="0" w:line="240" w:lineRule="auto"/>
        <w:jc w:val="both"/>
      </w:pPr>
      <w:r>
        <w:t xml:space="preserve">Az </w:t>
      </w:r>
      <w:r w:rsidR="00A67775">
        <w:t xml:space="preserve">Elnökség által is jóváhagyott </w:t>
      </w:r>
      <w:r>
        <w:t>EB keret:</w:t>
      </w:r>
    </w:p>
    <w:p w:rsidR="00B22DEC" w:rsidRDefault="0024651E" w:rsidP="00B22DEC">
      <w:pPr>
        <w:spacing w:after="0" w:line="240" w:lineRule="auto"/>
        <w:jc w:val="both"/>
      </w:pPr>
      <w:proofErr w:type="spellStart"/>
      <w:r>
        <w:t>Palancsa</w:t>
      </w:r>
      <w:proofErr w:type="spellEnd"/>
      <w:r w:rsidR="00A67775">
        <w:t xml:space="preserve"> </w:t>
      </w:r>
      <w:r>
        <w:t xml:space="preserve">Dorottya, </w:t>
      </w:r>
      <w:proofErr w:type="spellStart"/>
      <w:r w:rsidR="00B22DEC">
        <w:t>skip</w:t>
      </w:r>
      <w:proofErr w:type="spellEnd"/>
    </w:p>
    <w:p w:rsidR="00B22DEC" w:rsidRDefault="0024651E" w:rsidP="00B22DEC">
      <w:pPr>
        <w:spacing w:after="0" w:line="240" w:lineRule="auto"/>
        <w:jc w:val="both"/>
      </w:pPr>
      <w:proofErr w:type="spellStart"/>
      <w:r>
        <w:t>Miklai</w:t>
      </w:r>
      <w:proofErr w:type="spellEnd"/>
      <w:r>
        <w:t xml:space="preserve"> Henrietta, </w:t>
      </w:r>
      <w:proofErr w:type="spellStart"/>
      <w:r w:rsidR="00B22DEC">
        <w:t>third</w:t>
      </w:r>
      <w:proofErr w:type="spellEnd"/>
      <w:r w:rsidR="00B22DEC">
        <w:t xml:space="preserve"> (vice </w:t>
      </w:r>
      <w:proofErr w:type="spellStart"/>
      <w:r w:rsidR="00B22DEC">
        <w:t>skip</w:t>
      </w:r>
      <w:proofErr w:type="spellEnd"/>
      <w:r w:rsidR="00B22DEC">
        <w:t>)</w:t>
      </w:r>
    </w:p>
    <w:p w:rsidR="00B22DEC" w:rsidRDefault="0024651E" w:rsidP="00B22DEC">
      <w:pPr>
        <w:spacing w:after="0" w:line="240" w:lineRule="auto"/>
        <w:jc w:val="both"/>
      </w:pPr>
      <w:r>
        <w:t xml:space="preserve">Sándor Nikolett, </w:t>
      </w:r>
      <w:proofErr w:type="spellStart"/>
      <w:r w:rsidR="00B22DEC">
        <w:t>second</w:t>
      </w:r>
      <w:proofErr w:type="spellEnd"/>
    </w:p>
    <w:p w:rsidR="00B22DEC" w:rsidRDefault="004A465E" w:rsidP="00B22DEC">
      <w:pPr>
        <w:spacing w:after="0" w:line="240" w:lineRule="auto"/>
        <w:jc w:val="both"/>
      </w:pPr>
      <w:proofErr w:type="spellStart"/>
      <w:r>
        <w:t>Micheller</w:t>
      </w:r>
      <w:proofErr w:type="spellEnd"/>
      <w:r>
        <w:t xml:space="preserve"> Dorottya, </w:t>
      </w:r>
      <w:r w:rsidR="00B22DEC">
        <w:t>lead</w:t>
      </w:r>
    </w:p>
    <w:p w:rsidR="00B22DEC" w:rsidRDefault="00B22DEC" w:rsidP="00B22DEC">
      <w:pPr>
        <w:spacing w:after="0" w:line="240" w:lineRule="auto"/>
        <w:jc w:val="both"/>
      </w:pPr>
      <w:r>
        <w:t xml:space="preserve">Hamvas Villő, </w:t>
      </w:r>
      <w:proofErr w:type="spellStart"/>
      <w:r>
        <w:t>altenate</w:t>
      </w:r>
      <w:proofErr w:type="spellEnd"/>
      <w:r w:rsidR="004A465E">
        <w:t xml:space="preserve"> </w:t>
      </w:r>
    </w:p>
    <w:p w:rsidR="00B22DEC" w:rsidRDefault="00B22DEC" w:rsidP="00B22DEC">
      <w:pPr>
        <w:spacing w:after="0" w:line="240" w:lineRule="auto"/>
        <w:jc w:val="both"/>
      </w:pPr>
      <w:proofErr w:type="spellStart"/>
      <w:r>
        <w:t>Palancsa</w:t>
      </w:r>
      <w:proofErr w:type="spellEnd"/>
      <w:r>
        <w:t xml:space="preserve"> Zoltán, edző</w:t>
      </w:r>
    </w:p>
    <w:p w:rsidR="00B22DEC" w:rsidRDefault="00B22DEC" w:rsidP="00B22DEC">
      <w:pPr>
        <w:spacing w:after="0" w:line="240" w:lineRule="auto"/>
        <w:jc w:val="both"/>
      </w:pPr>
    </w:p>
    <w:p w:rsidR="00C36CB2" w:rsidRDefault="004A465E" w:rsidP="002A2C20">
      <w:pPr>
        <w:jc w:val="both"/>
      </w:pPr>
      <w:r>
        <w:t xml:space="preserve">Már </w:t>
      </w:r>
      <w:r w:rsidR="003F4086">
        <w:t>közvetlenül az OB után</w:t>
      </w:r>
      <w:r>
        <w:t xml:space="preserve"> elkezdtük a játékosok technikai fejlesztését, illetve </w:t>
      </w:r>
      <w:r w:rsidR="00B22DEC">
        <w:t>Villő</w:t>
      </w:r>
      <w:r>
        <w:t xml:space="preserve"> beintegrálását a csapatba. </w:t>
      </w:r>
      <w:r w:rsidR="002A2C20">
        <w:t>Az elfogadott felkészülési terv alapján</w:t>
      </w:r>
      <w:r w:rsidR="00E867D5">
        <w:t>,</w:t>
      </w:r>
      <w:r w:rsidR="002A2C20">
        <w:t xml:space="preserve"> július közepén kezdtük meg a</w:t>
      </w:r>
      <w:r>
        <w:t>z őszi</w:t>
      </w:r>
      <w:r w:rsidR="002A2C20">
        <w:t xml:space="preserve"> felkészülést, alapozással, és az állóképesség fejlesztésével</w:t>
      </w:r>
      <w:r w:rsidR="00E867D5">
        <w:t xml:space="preserve">. </w:t>
      </w:r>
      <w:r w:rsidR="00C36CB2">
        <w:t>Ezúton is szeretném megköszönni a</w:t>
      </w:r>
      <w:r w:rsidR="00B22DEC">
        <w:t>z UTE</w:t>
      </w:r>
      <w:r w:rsidR="00C36CB2">
        <w:t xml:space="preserve"> két felkészítő </w:t>
      </w:r>
      <w:r w:rsidR="00B22DEC">
        <w:t>edzőjének</w:t>
      </w:r>
      <w:r w:rsidR="004C4177">
        <w:t xml:space="preserve"> (</w:t>
      </w:r>
      <w:proofErr w:type="spellStart"/>
      <w:r w:rsidR="00A67775">
        <w:t>Ormay</w:t>
      </w:r>
      <w:proofErr w:type="spellEnd"/>
      <w:r w:rsidR="00A67775">
        <w:t xml:space="preserve"> Anikó és Kapuvári Gábor) </w:t>
      </w:r>
      <w:r w:rsidR="00C36CB2">
        <w:t xml:space="preserve">áldozatos munkáját. </w:t>
      </w:r>
      <w:r w:rsidR="00B22DEC">
        <w:t xml:space="preserve">A felkészülést nehezítette </w:t>
      </w:r>
      <w:proofErr w:type="spellStart"/>
      <w:r w:rsidR="00B22DEC">
        <w:t>Micheller</w:t>
      </w:r>
      <w:proofErr w:type="spellEnd"/>
      <w:r w:rsidR="00B22DEC">
        <w:t xml:space="preserve"> Dóri makacs térdsérülése</w:t>
      </w:r>
      <w:r w:rsidR="00597676">
        <w:t>, de összességében n</w:t>
      </w:r>
      <w:r w:rsidR="00C36CB2">
        <w:t xml:space="preserve">yár végére a lányok </w:t>
      </w:r>
      <w:r w:rsidR="003F4086">
        <w:t>minden eddiginél</w:t>
      </w:r>
      <w:r w:rsidR="00C36CB2">
        <w:t xml:space="preserve"> j</w:t>
      </w:r>
      <w:r w:rsidR="003F4086">
        <w:t>obb</w:t>
      </w:r>
      <w:r w:rsidR="00C36CB2">
        <w:t xml:space="preserve"> kondícióban voltak!</w:t>
      </w:r>
    </w:p>
    <w:p w:rsidR="002A2C20" w:rsidRDefault="00E867D5" w:rsidP="002A2C20">
      <w:pPr>
        <w:jc w:val="both"/>
      </w:pPr>
      <w:r>
        <w:t xml:space="preserve">A jeges edzéseket </w:t>
      </w:r>
      <w:r w:rsidR="00B22DEC">
        <w:t>augusztus végén</w:t>
      </w:r>
      <w:r w:rsidR="004A465E">
        <w:t xml:space="preserve"> </w:t>
      </w:r>
      <w:r>
        <w:t>kezdtük, egy három napos hazai edzőtáborral.</w:t>
      </w:r>
    </w:p>
    <w:p w:rsidR="00597676" w:rsidRDefault="008A4F2C" w:rsidP="002A2C20">
      <w:pPr>
        <w:jc w:val="both"/>
      </w:pPr>
      <w:r>
        <w:t>A hazai felkészülési versenyek</w:t>
      </w:r>
      <w:r w:rsidR="00575A9D">
        <w:t xml:space="preserve"> közül</w:t>
      </w:r>
      <w:r w:rsidR="00597676">
        <w:t xml:space="preserve"> az Újpest Kup</w:t>
      </w:r>
      <w:r w:rsidR="00843BFE">
        <w:t>án</w:t>
      </w:r>
      <w:r w:rsidR="00597676">
        <w:t xml:space="preserve"> és</w:t>
      </w:r>
      <w:r w:rsidR="00575A9D">
        <w:t xml:space="preserve"> a Magyar Kup</w:t>
      </w:r>
      <w:r w:rsidR="00843BFE">
        <w:t>án történő</w:t>
      </w:r>
      <w:r w:rsidR="003F4086">
        <w:t xml:space="preserve"> </w:t>
      </w:r>
      <w:r w:rsidR="00575A9D">
        <w:t>indulást terveztük</w:t>
      </w:r>
      <w:r w:rsidR="00597676">
        <w:t>. Három</w:t>
      </w:r>
      <w:r w:rsidR="00E867D5">
        <w:t xml:space="preserve"> külföldi felkészülési versenyen vettünk részt</w:t>
      </w:r>
      <w:r w:rsidR="00843BFE">
        <w:t xml:space="preserve"> (Ausztria, Csehország, Észtország)</w:t>
      </w:r>
      <w:r w:rsidR="00E867D5">
        <w:t>, amelyeken kifejezetten nehéz ellenfelekkel tudt</w:t>
      </w:r>
      <w:r w:rsidR="00597676">
        <w:t xml:space="preserve">unk jó mérkőzéseket játszani. </w:t>
      </w:r>
    </w:p>
    <w:p w:rsidR="003F4086" w:rsidRDefault="003F4086" w:rsidP="003F4086">
      <w:pPr>
        <w:pStyle w:val="Listaszerbekezds"/>
        <w:numPr>
          <w:ilvl w:val="0"/>
          <w:numId w:val="2"/>
        </w:numPr>
        <w:jc w:val="both"/>
      </w:pPr>
      <w:r>
        <w:t>a</w:t>
      </w:r>
      <w:r w:rsidR="00597676">
        <w:t xml:space="preserve">z </w:t>
      </w:r>
      <w:proofErr w:type="spellStart"/>
      <w:r w:rsidR="00597676">
        <w:t>Austrian</w:t>
      </w:r>
      <w:proofErr w:type="spellEnd"/>
      <w:r w:rsidR="00597676">
        <w:t xml:space="preserve"> Open-en veretlenül zártuk az alapszakaszt, de a svájci rendszerű lebonyolítás szabályai miatt nem kerültünk a legjobb 4 közé</w:t>
      </w:r>
      <w:r>
        <w:t>, és végül a 7. helyen zártunk</w:t>
      </w:r>
      <w:r w:rsidR="00843BFE">
        <w:t>,</w:t>
      </w:r>
    </w:p>
    <w:p w:rsidR="003F4086" w:rsidRDefault="003F4086" w:rsidP="002A2C20">
      <w:pPr>
        <w:pStyle w:val="Listaszerbekezds"/>
        <w:numPr>
          <w:ilvl w:val="0"/>
          <w:numId w:val="2"/>
        </w:numPr>
        <w:jc w:val="both"/>
      </w:pPr>
      <w:r>
        <w:t>a</w:t>
      </w:r>
      <w:r w:rsidR="00597676">
        <w:t xml:space="preserve"> </w:t>
      </w:r>
      <w:r w:rsidR="00E867D5">
        <w:t>Kolibris Kupán</w:t>
      </w:r>
      <w:r w:rsidR="00575A9D">
        <w:t xml:space="preserve"> </w:t>
      </w:r>
      <w:r w:rsidR="00597676">
        <w:t>idén ugyan nem jutottunk be</w:t>
      </w:r>
      <w:r w:rsidR="00575A9D">
        <w:t xml:space="preserve"> a negyeddöntőbe, </w:t>
      </w:r>
      <w:r w:rsidR="00597676">
        <w:t>de először siker</w:t>
      </w:r>
      <w:r>
        <w:t>ült megnyernünk a női versenyt</w:t>
      </w:r>
      <w:r w:rsidR="00843BFE">
        <w:t>,</w:t>
      </w:r>
    </w:p>
    <w:p w:rsidR="003F4086" w:rsidRDefault="003F4086" w:rsidP="002A2C20">
      <w:pPr>
        <w:pStyle w:val="Listaszerbekezds"/>
        <w:numPr>
          <w:ilvl w:val="0"/>
          <w:numId w:val="2"/>
        </w:numPr>
        <w:jc w:val="both"/>
      </w:pPr>
      <w:r>
        <w:t>a</w:t>
      </w:r>
      <w:r w:rsidR="00597676">
        <w:t xml:space="preserve">z Újpest Kupát megnyerte a csapat, </w:t>
      </w:r>
      <w:r w:rsidR="007402A1">
        <w:t xml:space="preserve">a döntőben </w:t>
      </w:r>
      <w:r w:rsidR="00597676">
        <w:t>először sikerült legyőzn</w:t>
      </w:r>
      <w:r>
        <w:t>ünk</w:t>
      </w:r>
      <w:r w:rsidR="00597676">
        <w:t xml:space="preserve"> a Team Kiss-t</w:t>
      </w:r>
      <w:r w:rsidR="00843BFE">
        <w:t>,</w:t>
      </w:r>
    </w:p>
    <w:p w:rsidR="003F4086" w:rsidRDefault="003F4086" w:rsidP="002A2C20">
      <w:pPr>
        <w:pStyle w:val="Listaszerbekezds"/>
        <w:numPr>
          <w:ilvl w:val="0"/>
          <w:numId w:val="2"/>
        </w:numPr>
        <w:jc w:val="both"/>
      </w:pPr>
      <w:r>
        <w:t>a</w:t>
      </w:r>
      <w:r w:rsidR="00597676">
        <w:t xml:space="preserve"> </w:t>
      </w:r>
      <w:proofErr w:type="spellStart"/>
      <w:r w:rsidR="00575A9D">
        <w:t>Tallinn</w:t>
      </w:r>
      <w:r w:rsidR="004A465E">
        <w:t>-i</w:t>
      </w:r>
      <w:proofErr w:type="spellEnd"/>
      <w:r w:rsidR="004A465E">
        <w:t xml:space="preserve"> WCT versenyen</w:t>
      </w:r>
      <w:r w:rsidR="00597676">
        <w:t xml:space="preserve"> nem sikerült a</w:t>
      </w:r>
      <w:r w:rsidR="007402A1">
        <w:t xml:space="preserve"> </w:t>
      </w:r>
      <w:r w:rsidR="00597676">
        <w:t>továbbjutás</w:t>
      </w:r>
      <w:r w:rsidR="007402A1">
        <w:t xml:space="preserve"> </w:t>
      </w:r>
      <w:r w:rsidR="00597676">
        <w:t>a</w:t>
      </w:r>
      <w:r w:rsidR="007402A1">
        <w:t xml:space="preserve"> </w:t>
      </w:r>
      <w:r w:rsidR="00597676">
        <w:t>csoportból, sajnos kikaptunk az orosz és a lett junioroktól is</w:t>
      </w:r>
      <w:r w:rsidR="00843BFE">
        <w:t>,</w:t>
      </w:r>
    </w:p>
    <w:p w:rsidR="007402A1" w:rsidRDefault="003F4086" w:rsidP="002A2C20">
      <w:pPr>
        <w:pStyle w:val="Listaszerbekezds"/>
        <w:numPr>
          <w:ilvl w:val="0"/>
          <w:numId w:val="2"/>
        </w:numPr>
        <w:jc w:val="both"/>
      </w:pPr>
      <w:r>
        <w:t>a</w:t>
      </w:r>
      <w:r w:rsidR="007402A1">
        <w:t xml:space="preserve"> Magyar Kupán 3. helyezést értünk el, a rájátszás hétvégéjén sajnos nem állt össze a csapat játéka.</w:t>
      </w:r>
    </w:p>
    <w:p w:rsidR="006D2B46" w:rsidRDefault="006D2B46" w:rsidP="006D2B46">
      <w:pPr>
        <w:pStyle w:val="Listaszerbekezds"/>
        <w:numPr>
          <w:ilvl w:val="0"/>
          <w:numId w:val="1"/>
        </w:numPr>
        <w:jc w:val="both"/>
      </w:pPr>
      <w:r>
        <w:lastRenderedPageBreak/>
        <w:t>Célok</w:t>
      </w:r>
    </w:p>
    <w:p w:rsidR="006D2B46" w:rsidRDefault="006D2B46" w:rsidP="006D2B46">
      <w:pPr>
        <w:jc w:val="both"/>
      </w:pPr>
      <w:r>
        <w:t>A hivatalosan megfogalmazott célkitűzés az „</w:t>
      </w:r>
      <w:proofErr w:type="gramStart"/>
      <w:r>
        <w:t>A</w:t>
      </w:r>
      <w:proofErr w:type="gramEnd"/>
      <w:r>
        <w:t xml:space="preserve">” </w:t>
      </w:r>
      <w:r w:rsidR="00843BFE">
        <w:t>divízió</w:t>
      </w:r>
      <w:r>
        <w:t xml:space="preserve">ba </w:t>
      </w:r>
      <w:r w:rsidR="00843BFE">
        <w:t>fel</w:t>
      </w:r>
      <w:r w:rsidR="000C5798">
        <w:t>jut</w:t>
      </w:r>
      <w:r>
        <w:t>ás volt</w:t>
      </w:r>
      <w:r w:rsidR="00C36CB2">
        <w:t xml:space="preserve"> (1-2. helyek valamelyikének megszerzése)</w:t>
      </w:r>
      <w:r>
        <w:t xml:space="preserve">, </w:t>
      </w:r>
      <w:r w:rsidR="00C36CB2">
        <w:t>amely egyben a vb kvalifikációs versenyen való indulási jogot is jelentette.</w:t>
      </w:r>
    </w:p>
    <w:p w:rsidR="003F4086" w:rsidRDefault="003F4086" w:rsidP="003F4086">
      <w:pPr>
        <w:pStyle w:val="Listaszerbekezds"/>
        <w:jc w:val="both"/>
      </w:pPr>
    </w:p>
    <w:p w:rsidR="006D2B46" w:rsidRDefault="006D2B46" w:rsidP="006D2B46">
      <w:pPr>
        <w:pStyle w:val="Listaszerbekezds"/>
        <w:numPr>
          <w:ilvl w:val="0"/>
          <w:numId w:val="1"/>
        </w:numPr>
        <w:jc w:val="both"/>
      </w:pPr>
      <w:r>
        <w:t>EB szereplés</w:t>
      </w:r>
    </w:p>
    <w:p w:rsidR="004D09C8" w:rsidRDefault="00733175" w:rsidP="006D2B46">
      <w:pPr>
        <w:jc w:val="both"/>
      </w:pPr>
      <w:r>
        <w:t>A</w:t>
      </w:r>
      <w:r w:rsidR="004D09C8">
        <w:t xml:space="preserve"> bemutatkozás nem sikerült</w:t>
      </w:r>
      <w:r w:rsidR="00DC3833">
        <w:t xml:space="preserve"> jól</w:t>
      </w:r>
      <w:r w:rsidR="004D09C8">
        <w:t xml:space="preserve">, </w:t>
      </w:r>
      <w:r w:rsidR="00946B51">
        <w:t xml:space="preserve">extra endben </w:t>
      </w:r>
      <w:r w:rsidR="007402A1">
        <w:t xml:space="preserve">kikaptunk az esélyesnek </w:t>
      </w:r>
      <w:r>
        <w:t xml:space="preserve">egyáltalán </w:t>
      </w:r>
      <w:r w:rsidR="007402A1">
        <w:t xml:space="preserve">nem számító fehérorosz válogatottól. Sajnos meg kellett változtatnunk az előzetesen eltervezett csapatrendet, mivel </w:t>
      </w:r>
      <w:proofErr w:type="spellStart"/>
      <w:r w:rsidR="007402A1">
        <w:t>Micheller</w:t>
      </w:r>
      <w:proofErr w:type="spellEnd"/>
      <w:r w:rsidR="007402A1">
        <w:t xml:space="preserve"> Dóri nem hozta magával a világos szerelését (futárral küldték utána), és </w:t>
      </w:r>
      <w:r w:rsidR="00470D2C">
        <w:t xml:space="preserve">mivel </w:t>
      </w:r>
      <w:r w:rsidR="007402A1">
        <w:t>az első négy mérkőzésünkből hármat világosban játszottunk, így Hamvas Villőnek kellett „beugrania”)</w:t>
      </w:r>
      <w:r w:rsidR="004D09C8">
        <w:t>.</w:t>
      </w:r>
    </w:p>
    <w:p w:rsidR="00946B51" w:rsidRDefault="004D09C8" w:rsidP="006D2B46">
      <w:pPr>
        <w:jc w:val="both"/>
      </w:pPr>
      <w:r>
        <w:t xml:space="preserve">A következő mérkőzésen </w:t>
      </w:r>
      <w:r w:rsidR="00946B51">
        <w:t>sokat</w:t>
      </w:r>
      <w:r>
        <w:t xml:space="preserve"> javult a helyzet, </w:t>
      </w:r>
      <w:r w:rsidR="00946B51">
        <w:t>aránylag sima</w:t>
      </w:r>
      <w:r w:rsidR="00DC3833">
        <w:t xml:space="preserve"> meccsen</w:t>
      </w:r>
      <w:r>
        <w:t xml:space="preserve"> győztünk a </w:t>
      </w:r>
      <w:r w:rsidR="00946B51">
        <w:t>fin</w:t>
      </w:r>
      <w:r>
        <w:t xml:space="preserve">nek ellen, de </w:t>
      </w:r>
      <w:r w:rsidR="003F4086">
        <w:t xml:space="preserve">újabb </w:t>
      </w:r>
      <w:r>
        <w:t xml:space="preserve">hidegzuhanyként ért minket a </w:t>
      </w:r>
      <w:r w:rsidR="00946B51">
        <w:t>spanyolo</w:t>
      </w:r>
      <w:r>
        <w:t>k elleni vereség</w:t>
      </w:r>
      <w:r w:rsidR="00946B51">
        <w:t>.</w:t>
      </w:r>
    </w:p>
    <w:p w:rsidR="00946B51" w:rsidRDefault="00946B51" w:rsidP="006D2B46">
      <w:pPr>
        <w:jc w:val="both"/>
      </w:pPr>
      <w:r>
        <w:t xml:space="preserve">Ettől kezdve győzelmi kényszerben voltunk és ennek megfelelően jöttek is az eredmények. </w:t>
      </w:r>
      <w:r w:rsidR="003F4086">
        <w:t>K</w:t>
      </w:r>
      <w:r>
        <w:t>ét sima győzelem a litvánok és az angolok ellen, egy szép, taktikus siker a törökökkel szemben és egy kicsit szerencsés győzelem az olaszok ellen. A lengyel mérkőzésen belementünk egy</w:t>
      </w:r>
      <w:r w:rsidR="008E390A">
        <w:t xml:space="preserve"> </w:t>
      </w:r>
      <w:r>
        <w:t xml:space="preserve">nagy </w:t>
      </w:r>
      <w:proofErr w:type="spellStart"/>
      <w:r>
        <w:t>adok-kapokba</w:t>
      </w:r>
      <w:proofErr w:type="spellEnd"/>
      <w:r>
        <w:t xml:space="preserve">, de szerencsére mi </w:t>
      </w:r>
      <w:r w:rsidR="003F4086">
        <w:t>k</w:t>
      </w:r>
      <w:r>
        <w:t xml:space="preserve">erültünk ki győztesen </w:t>
      </w:r>
      <w:r w:rsidR="008E390A">
        <w:t>a „pontháborúból”. Az alapszakasz utolsó mérkőzésén – talán a biztos továbbjutás tudatában, talán annak köszönhetően, hogy Villő kapott még egy játéklehetőséget</w:t>
      </w:r>
      <w:r w:rsidR="003F4086">
        <w:t xml:space="preserve"> és emiatt megváltozott a csapat dinamikája</w:t>
      </w:r>
      <w:r w:rsidR="008E390A">
        <w:t xml:space="preserve"> – utolsó köves mérkőzésen alulmaradtunk</w:t>
      </w:r>
      <w:r w:rsidR="008E390A" w:rsidRPr="008E390A">
        <w:t xml:space="preserve"> </w:t>
      </w:r>
      <w:r w:rsidR="008E390A">
        <w:t xml:space="preserve">a szlovákok ellenében. Ez később </w:t>
      </w:r>
      <w:r w:rsidR="003F4086">
        <w:t>let</w:t>
      </w:r>
      <w:r w:rsidR="008E390A">
        <w:t>t nagyon fájó, hiszen így a legjobb négy között a kiemelkedő</w:t>
      </w:r>
      <w:r w:rsidR="003F4086">
        <w:t>en legjobb</w:t>
      </w:r>
      <w:r w:rsidR="008E390A">
        <w:t xml:space="preserve"> olaszokat kaptuk ellenfélül, nem pedig a kvartettből egyértelműen leggyengébb teljesítményt nyújtó angolokat.</w:t>
      </w:r>
    </w:p>
    <w:p w:rsidR="008E390A" w:rsidRDefault="008E390A" w:rsidP="006D2B46">
      <w:pPr>
        <w:jc w:val="both"/>
      </w:pPr>
      <w:r>
        <w:t>Az „</w:t>
      </w:r>
      <w:proofErr w:type="gramStart"/>
      <w:r>
        <w:t>A</w:t>
      </w:r>
      <w:proofErr w:type="gramEnd"/>
      <w:r>
        <w:t>” osztályos tagságról dönteni hivatott olaszok elleni elődöntőben a szünetig bírtuk a precízen játszó ellenfelünk nyomását, de a 6. endben 4 pontot írtak, és onnét már nem tudtuk megfordítani a mérkőzést.</w:t>
      </w:r>
    </w:p>
    <w:p w:rsidR="008E390A" w:rsidRDefault="008E390A" w:rsidP="006D2B46">
      <w:pPr>
        <w:jc w:val="both"/>
      </w:pPr>
      <w:r>
        <w:t>A bronzmérkőzésen egyértelmű volt, hogy a miénk jelenleg jobb csapat az angolokénál, végi</w:t>
      </w:r>
      <w:r w:rsidR="003F4086">
        <w:t>g</w:t>
      </w:r>
      <w:r>
        <w:t xml:space="preserve"> határozottan játszva </w:t>
      </w:r>
      <w:r w:rsidR="003F4086">
        <w:t xml:space="preserve">nyomás alatt tartottuk, ezzel </w:t>
      </w:r>
      <w:r>
        <w:t xml:space="preserve">felőröltük az ellenfelünket, és a végén nagy különbségű győzelemmel zártuk az </w:t>
      </w:r>
      <w:proofErr w:type="spellStart"/>
      <w:r>
        <w:t>EB-t</w:t>
      </w:r>
      <w:proofErr w:type="spellEnd"/>
      <w:r>
        <w:t>.</w:t>
      </w:r>
    </w:p>
    <w:p w:rsidR="00733175" w:rsidRDefault="00733175" w:rsidP="006D2B46">
      <w:pPr>
        <w:jc w:val="both"/>
      </w:pPr>
      <w:r>
        <w:t>A csapat eredményei a mérkőzősek lejátszásának sorrendjében:</w:t>
      </w:r>
    </w:p>
    <w:p w:rsidR="00946B51" w:rsidRDefault="00946B51" w:rsidP="00946B51">
      <w:pPr>
        <w:spacing w:after="0"/>
        <w:jc w:val="both"/>
      </w:pPr>
      <w:r>
        <w:t>Fehéroroszország: 7-9</w:t>
      </w:r>
    </w:p>
    <w:p w:rsidR="00946B51" w:rsidRPr="00946B51" w:rsidRDefault="00946B51" w:rsidP="00946B51">
      <w:pPr>
        <w:spacing w:after="0"/>
        <w:jc w:val="both"/>
        <w:rPr>
          <w:b/>
        </w:rPr>
      </w:pPr>
      <w:r w:rsidRPr="00946B51">
        <w:rPr>
          <w:b/>
        </w:rPr>
        <w:t>Finnország: 10-5</w:t>
      </w:r>
    </w:p>
    <w:p w:rsidR="00946B51" w:rsidRDefault="00946B51" w:rsidP="00946B51">
      <w:pPr>
        <w:spacing w:after="0"/>
        <w:jc w:val="both"/>
      </w:pPr>
      <w:r>
        <w:t>Spanyolország: 6-8</w:t>
      </w:r>
    </w:p>
    <w:p w:rsidR="00946B51" w:rsidRPr="00946B51" w:rsidRDefault="00946B51" w:rsidP="00946B51">
      <w:pPr>
        <w:spacing w:after="0"/>
        <w:jc w:val="both"/>
        <w:rPr>
          <w:b/>
        </w:rPr>
      </w:pPr>
      <w:r w:rsidRPr="00946B51">
        <w:rPr>
          <w:b/>
        </w:rPr>
        <w:t>Litvánia: 10-3</w:t>
      </w:r>
    </w:p>
    <w:p w:rsidR="00946B51" w:rsidRPr="00946B51" w:rsidRDefault="00946B51" w:rsidP="00946B51">
      <w:pPr>
        <w:spacing w:after="0"/>
        <w:jc w:val="both"/>
        <w:rPr>
          <w:b/>
        </w:rPr>
      </w:pPr>
      <w:r w:rsidRPr="00946B51">
        <w:rPr>
          <w:b/>
        </w:rPr>
        <w:t>Anglia: 9-4</w:t>
      </w:r>
    </w:p>
    <w:p w:rsidR="00946B51" w:rsidRPr="00946B51" w:rsidRDefault="00946B51" w:rsidP="00946B51">
      <w:pPr>
        <w:spacing w:after="0"/>
        <w:jc w:val="both"/>
        <w:rPr>
          <w:b/>
        </w:rPr>
      </w:pPr>
      <w:r w:rsidRPr="00946B51">
        <w:rPr>
          <w:b/>
        </w:rPr>
        <w:t>Törökország: 5-2</w:t>
      </w:r>
    </w:p>
    <w:p w:rsidR="00946B51" w:rsidRPr="00946B51" w:rsidRDefault="00946B51" w:rsidP="00946B51">
      <w:pPr>
        <w:spacing w:after="0"/>
        <w:jc w:val="both"/>
        <w:rPr>
          <w:b/>
        </w:rPr>
      </w:pPr>
      <w:r w:rsidRPr="00946B51">
        <w:rPr>
          <w:b/>
        </w:rPr>
        <w:t>Olaszország: 6-5</w:t>
      </w:r>
    </w:p>
    <w:p w:rsidR="00946B51" w:rsidRPr="00946B51" w:rsidRDefault="00946B51" w:rsidP="00946B51">
      <w:pPr>
        <w:spacing w:after="0"/>
        <w:jc w:val="both"/>
        <w:rPr>
          <w:b/>
        </w:rPr>
      </w:pPr>
      <w:r w:rsidRPr="00946B51">
        <w:rPr>
          <w:b/>
        </w:rPr>
        <w:t>Lengyelország: 13-10</w:t>
      </w:r>
    </w:p>
    <w:p w:rsidR="00946B51" w:rsidRDefault="00946B51" w:rsidP="00946B51">
      <w:pPr>
        <w:spacing w:after="0"/>
        <w:jc w:val="both"/>
      </w:pPr>
      <w:r>
        <w:t>Szlovákia: 5-8</w:t>
      </w:r>
    </w:p>
    <w:p w:rsidR="00946B51" w:rsidRDefault="00946B51" w:rsidP="00946B51">
      <w:pPr>
        <w:spacing w:after="0"/>
        <w:jc w:val="both"/>
      </w:pPr>
      <w:r>
        <w:t>Olaszo</w:t>
      </w:r>
      <w:r w:rsidR="008E390A">
        <w:t>r</w:t>
      </w:r>
      <w:r>
        <w:t>szág: 4-9 (elődöntő)</w:t>
      </w:r>
    </w:p>
    <w:p w:rsidR="00946B51" w:rsidRPr="00946B51" w:rsidRDefault="00946B51" w:rsidP="00946B51">
      <w:pPr>
        <w:spacing w:after="0"/>
        <w:jc w:val="both"/>
        <w:rPr>
          <w:b/>
        </w:rPr>
      </w:pPr>
      <w:r w:rsidRPr="00946B51">
        <w:rPr>
          <w:b/>
        </w:rPr>
        <w:t>Anglia: 9-2 (bronzmérkőzés)</w:t>
      </w:r>
    </w:p>
    <w:p w:rsidR="00A67775" w:rsidRDefault="00A67775" w:rsidP="006D2B46">
      <w:pPr>
        <w:jc w:val="both"/>
      </w:pPr>
    </w:p>
    <w:p w:rsidR="00733175" w:rsidRDefault="00733175" w:rsidP="006D2B46">
      <w:pPr>
        <w:jc w:val="both"/>
      </w:pPr>
      <w:r>
        <w:lastRenderedPageBreak/>
        <w:t>Az alapszakasz végeredménye az alábbiak szerint alakult:</w:t>
      </w:r>
    </w:p>
    <w:tbl>
      <w:tblPr>
        <w:tblW w:w="87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4"/>
        <w:gridCol w:w="2648"/>
        <w:gridCol w:w="827"/>
        <w:gridCol w:w="922"/>
        <w:gridCol w:w="705"/>
        <w:gridCol w:w="1120"/>
        <w:gridCol w:w="1104"/>
        <w:gridCol w:w="420"/>
      </w:tblGrid>
      <w:tr w:rsidR="00733175" w:rsidRPr="00733175" w:rsidTr="00733175">
        <w:trPr>
          <w:tblHeader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8398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FFFFFF"/>
                <w:sz w:val="14"/>
                <w:szCs w:val="14"/>
                <w:lang w:eastAsia="hu-HU"/>
              </w:rPr>
              <w:t>#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8398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8398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FFFFFF"/>
                <w:sz w:val="14"/>
                <w:szCs w:val="14"/>
                <w:lang w:eastAsia="hu-HU"/>
              </w:rPr>
              <w:t>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8398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FFFFFF"/>
                <w:sz w:val="14"/>
                <w:szCs w:val="14"/>
                <w:lang w:eastAsia="hu-HU"/>
              </w:rPr>
              <w:t>W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8398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FFFFFF"/>
                <w:sz w:val="14"/>
                <w:szCs w:val="14"/>
                <w:lang w:eastAsia="hu-HU"/>
              </w:rPr>
              <w:t>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8398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8398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u-HU"/>
              </w:rPr>
            </w:pPr>
          </w:p>
        </w:tc>
      </w:tr>
      <w:tr w:rsidR="00733175" w:rsidRPr="00733175" w:rsidTr="0073317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proofErr w:type="spellStart"/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Turkey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Q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w1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</w:p>
        </w:tc>
      </w:tr>
      <w:tr w:rsidR="00733175" w:rsidRPr="00733175" w:rsidTr="0073317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proofErr w:type="spellStart"/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Italy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Q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w0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</w:p>
        </w:tc>
      </w:tr>
      <w:tr w:rsidR="00733175" w:rsidRPr="00733175" w:rsidTr="0073317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Hungary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Q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w1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</w:p>
        </w:tc>
      </w:tr>
      <w:tr w:rsidR="00733175" w:rsidRPr="00733175" w:rsidTr="0073317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England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Q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w0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</w:p>
        </w:tc>
      </w:tr>
      <w:tr w:rsidR="00733175" w:rsidRPr="00733175" w:rsidTr="0073317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proofErr w:type="spellStart"/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Slovakia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</w:p>
        </w:tc>
      </w:tr>
      <w:tr w:rsidR="00733175" w:rsidRPr="00733175" w:rsidTr="0073317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proofErr w:type="spellStart"/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Finland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w1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</w:p>
        </w:tc>
      </w:tr>
      <w:tr w:rsidR="00733175" w:rsidRPr="00733175" w:rsidTr="0073317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Spain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w0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</w:p>
        </w:tc>
      </w:tr>
      <w:tr w:rsidR="00733175" w:rsidRPr="00733175" w:rsidTr="0073317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proofErr w:type="spellStart"/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Belarus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</w:p>
        </w:tc>
      </w:tr>
      <w:tr w:rsidR="00733175" w:rsidRPr="00733175" w:rsidTr="0073317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proofErr w:type="spellStart"/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Poland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&gt;C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</w:p>
        </w:tc>
      </w:tr>
      <w:tr w:rsidR="00733175" w:rsidRPr="00733175" w:rsidTr="0073317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proofErr w:type="spellStart"/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Lithuania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  <w:r w:rsidRPr="00733175"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  <w:t>&gt;C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33175" w:rsidRPr="00733175" w:rsidRDefault="00733175" w:rsidP="0073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eastAsia="hu-HU"/>
              </w:rPr>
            </w:pPr>
          </w:p>
        </w:tc>
      </w:tr>
    </w:tbl>
    <w:p w:rsidR="00733175" w:rsidRDefault="00733175" w:rsidP="006D2B46">
      <w:pPr>
        <w:jc w:val="both"/>
      </w:pPr>
    </w:p>
    <w:p w:rsidR="00F16FDD" w:rsidRDefault="00F259B7" w:rsidP="00F16FDD">
      <w:pPr>
        <w:pStyle w:val="Listaszerbekezds"/>
        <w:numPr>
          <w:ilvl w:val="0"/>
          <w:numId w:val="1"/>
        </w:numPr>
        <w:jc w:val="both"/>
      </w:pPr>
      <w:r>
        <w:t>Értékelés</w:t>
      </w:r>
    </w:p>
    <w:p w:rsidR="00187BD0" w:rsidRDefault="004B4E97" w:rsidP="00F16FDD">
      <w:pPr>
        <w:jc w:val="both"/>
      </w:pPr>
      <w:r>
        <w:t xml:space="preserve">A csapat teljesítménye </w:t>
      </w:r>
      <w:r w:rsidR="00DD02EB">
        <w:t>hullámzó volt</w:t>
      </w:r>
      <w:r>
        <w:t xml:space="preserve">, és egy-egy mérkőzésen belül is voltak hullámvölgyek. Összesen </w:t>
      </w:r>
      <w:r w:rsidR="00187BD0">
        <w:t>11</w:t>
      </w:r>
      <w:r>
        <w:t xml:space="preserve"> mérkőzést játszottunk </w:t>
      </w:r>
      <w:r w:rsidR="00DD02EB">
        <w:t>hat</w:t>
      </w:r>
      <w:r>
        <w:t xml:space="preserve"> nap alatt, </w:t>
      </w:r>
      <w:r w:rsidR="00187BD0">
        <w:t>öt</w:t>
      </w:r>
      <w:r w:rsidR="00DD02EB">
        <w:t xml:space="preserve"> kifejezetten jó mérkőzést produkáltunk (</w:t>
      </w:r>
      <w:r w:rsidR="00187BD0">
        <w:t>finn, angol, török, olasz az alapszakaszban és a bronzmeccs az angolok ellen</w:t>
      </w:r>
      <w:r w:rsidR="00DD02EB">
        <w:t>), viszont három kimondottan gyenge meccsünk is volt (</w:t>
      </w:r>
      <w:r w:rsidR="00187BD0">
        <w:t>fehérorosz,</w:t>
      </w:r>
      <w:r w:rsidR="00DD02EB">
        <w:t xml:space="preserve"> spanyol</w:t>
      </w:r>
      <w:r w:rsidR="00187BD0">
        <w:t>, szlovák</w:t>
      </w:r>
      <w:r w:rsidR="00DD02EB">
        <w:t xml:space="preserve">). </w:t>
      </w:r>
    </w:p>
    <w:p w:rsidR="00DD02EB" w:rsidRDefault="00DD02EB" w:rsidP="00F16FDD">
      <w:pPr>
        <w:jc w:val="both"/>
      </w:pPr>
      <w:r>
        <w:t>Össze</w:t>
      </w:r>
      <w:r w:rsidR="00470D2C">
        <w:t>hasonlítva a teljesítményünket</w:t>
      </w:r>
      <w:r w:rsidR="005D0CC2">
        <w:t xml:space="preserve"> </w:t>
      </w:r>
      <w:r>
        <w:t xml:space="preserve">a „B” csoportos ellenfelekkel, megállapítható, hogy </w:t>
      </w:r>
      <w:r w:rsidR="00187BD0">
        <w:t>az olasz csapat kiemelkedett a mezőnyből, de még ők is begyűjtöttek két vereséget az alapszakaszban. Raj</w:t>
      </w:r>
      <w:r w:rsidR="00063629">
        <w:t>t</w:t>
      </w:r>
      <w:r w:rsidR="00187BD0">
        <w:t xml:space="preserve">unk kívül még a törökök nyújtottak </w:t>
      </w:r>
      <w:r w:rsidR="00470D2C">
        <w:t>viszonylag jó</w:t>
      </w:r>
      <w:r>
        <w:t xml:space="preserve"> </w:t>
      </w:r>
      <w:r w:rsidR="00187BD0">
        <w:t xml:space="preserve">teljesítményt, </w:t>
      </w:r>
      <w:r w:rsidR="00063629">
        <w:t xml:space="preserve">a finnek beleszürkültek a mezőnybe és </w:t>
      </w:r>
      <w:r w:rsidR="00187BD0">
        <w:t xml:space="preserve">a többiek jelenlegi tudása </w:t>
      </w:r>
      <w:r w:rsidR="00063629">
        <w:t>s</w:t>
      </w:r>
      <w:r w:rsidR="00187BD0">
        <w:t>em éri el az „</w:t>
      </w:r>
      <w:proofErr w:type="gramStart"/>
      <w:r w:rsidR="00187BD0">
        <w:t>A</w:t>
      </w:r>
      <w:proofErr w:type="gramEnd"/>
      <w:r w:rsidR="00187BD0">
        <w:t xml:space="preserve">” divízió szintjét. </w:t>
      </w:r>
      <w:r>
        <w:t>Nem volt véletlen a sok körbeverés, szerintem jelentős mértékben kiegyenlítődtek az erőviszonyok</w:t>
      </w:r>
      <w:r w:rsidR="00187BD0">
        <w:t>, és 8 napon keresztül egyik csapat sem volt képes a maximumot nyújtani</w:t>
      </w:r>
      <w:r>
        <w:t>.</w:t>
      </w:r>
    </w:p>
    <w:p w:rsidR="00F922DB" w:rsidRPr="00F922DB" w:rsidRDefault="00F922DB" w:rsidP="00F16FDD">
      <w:pPr>
        <w:jc w:val="both"/>
        <w:rPr>
          <w:b/>
        </w:rPr>
      </w:pPr>
      <w:r>
        <w:rPr>
          <w:b/>
        </w:rPr>
        <w:t xml:space="preserve">Hamvas Villő </w:t>
      </w:r>
      <w:r w:rsidRPr="00F922DB">
        <w:t xml:space="preserve">– figyelembe véve, hogy másfél éve </w:t>
      </w:r>
      <w:proofErr w:type="spellStart"/>
      <w:r w:rsidRPr="00F922DB">
        <w:t>curlingezik</w:t>
      </w:r>
      <w:proofErr w:type="spellEnd"/>
      <w:r w:rsidRPr="00F922DB">
        <w:t xml:space="preserve"> aktívan és hogy</w:t>
      </w:r>
      <w:r>
        <w:rPr>
          <w:b/>
        </w:rPr>
        <w:t xml:space="preserve"> </w:t>
      </w:r>
      <w:r>
        <w:t xml:space="preserve">az </w:t>
      </w:r>
      <w:proofErr w:type="spellStart"/>
      <w:r>
        <w:t>EB-n</w:t>
      </w:r>
      <w:proofErr w:type="spellEnd"/>
      <w:r>
        <w:t xml:space="preserve"> debütált a nemzetközi porondon, kifejezetten jól illeszkedett a csapatba, és az első mérkőzés megilletődöttségétől eltekintve azt játszotta, ami reálisan elvárható volt tőle. Kifejezetten tehetséges, jól alkalmazkodó </w:t>
      </w:r>
      <w:r w:rsidR="00CF32E9">
        <w:t>sportoló</w:t>
      </w:r>
      <w:r>
        <w:t>.</w:t>
      </w:r>
      <w:r w:rsidRPr="00F922DB">
        <w:rPr>
          <w:b/>
        </w:rPr>
        <w:t xml:space="preserve">   </w:t>
      </w:r>
    </w:p>
    <w:p w:rsidR="004B4E97" w:rsidRDefault="00C36CB2" w:rsidP="00F16FDD">
      <w:pPr>
        <w:jc w:val="both"/>
      </w:pPr>
      <w:proofErr w:type="spellStart"/>
      <w:r>
        <w:rPr>
          <w:b/>
        </w:rPr>
        <w:t>Micheller</w:t>
      </w:r>
      <w:proofErr w:type="spellEnd"/>
      <w:r>
        <w:rPr>
          <w:b/>
        </w:rPr>
        <w:t xml:space="preserve"> Dóri</w:t>
      </w:r>
      <w:r w:rsidR="004B4E97">
        <w:t xml:space="preserve"> – </w:t>
      </w:r>
      <w:proofErr w:type="spellStart"/>
      <w:r w:rsidR="00F922DB">
        <w:t>leadként</w:t>
      </w:r>
      <w:proofErr w:type="spellEnd"/>
      <w:r w:rsidR="00F922DB">
        <w:t xml:space="preserve"> számítottunk rá, de a felkészülés és a verseny alatt is </w:t>
      </w:r>
      <w:r w:rsidR="00063629">
        <w:t>rendszeresen</w:t>
      </w:r>
      <w:r w:rsidR="00F922DB">
        <w:t xml:space="preserve"> térdfájdalmakra panaszkodott</w:t>
      </w:r>
      <w:r w:rsidR="004B4E97">
        <w:t xml:space="preserve">, </w:t>
      </w:r>
      <w:r w:rsidR="00F922DB">
        <w:t xml:space="preserve">ami kihatással volt a teljesítményére. Számomra elfogadhatatlan, hogy egy válogatott játékos otthon felejti a szerelését! Ezzel komolyan megnehezítette a csapat dolgát, és kiszolgáltatott helyzetbe hozta a tartalékot. </w:t>
      </w:r>
      <w:r w:rsidR="00063629">
        <w:t xml:space="preserve">Amikor játszott, és teljes mértékben a játékra koncentrált, akkor nem volt baj a dobásaival. </w:t>
      </w:r>
      <w:r w:rsidR="00F922DB">
        <w:t>A</w:t>
      </w:r>
      <w:r w:rsidR="004B4E97">
        <w:t xml:space="preserve"> csapatba történő be</w:t>
      </w:r>
      <w:r w:rsidR="00F922DB">
        <w:t>illeszkedése</w:t>
      </w:r>
      <w:r w:rsidR="004B4E97">
        <w:t xml:space="preserve"> </w:t>
      </w:r>
      <w:r w:rsidR="00784542">
        <w:t xml:space="preserve">még </w:t>
      </w:r>
      <w:r w:rsidR="00F922DB">
        <w:t xml:space="preserve">mindig </w:t>
      </w:r>
      <w:r w:rsidR="004B4E97">
        <w:t xml:space="preserve">nem </w:t>
      </w:r>
      <w:r w:rsidR="009A5FFA">
        <w:t>sikerült</w:t>
      </w:r>
      <w:r w:rsidR="004B4E97">
        <w:t xml:space="preserve">, </w:t>
      </w:r>
      <w:r w:rsidR="00784542">
        <w:t xml:space="preserve">valószínűleg a közte és a csapat többi tagja közti jelentős </w:t>
      </w:r>
      <w:r w:rsidR="00F922DB">
        <w:t>gondolkodás</w:t>
      </w:r>
      <w:r w:rsidR="00784542">
        <w:t>beli különbségnek köszönhetően</w:t>
      </w:r>
      <w:r w:rsidR="004B4E97">
        <w:t>.</w:t>
      </w:r>
    </w:p>
    <w:p w:rsidR="00470D2C" w:rsidRDefault="00C36CB2" w:rsidP="00F16FDD">
      <w:pPr>
        <w:jc w:val="both"/>
      </w:pPr>
      <w:r>
        <w:rPr>
          <w:b/>
        </w:rPr>
        <w:t>Sándor Niki</w:t>
      </w:r>
      <w:r w:rsidR="006E2E49">
        <w:t xml:space="preserve"> – </w:t>
      </w:r>
      <w:r w:rsidR="009B7E63">
        <w:t xml:space="preserve">az EB első </w:t>
      </w:r>
      <w:r w:rsidR="00063629">
        <w:t>harmadában</w:t>
      </w:r>
      <w:r w:rsidR="009B7E63">
        <w:t xml:space="preserve"> </w:t>
      </w:r>
      <w:bookmarkStart w:id="0" w:name="_GoBack"/>
      <w:bookmarkEnd w:id="0"/>
      <w:r w:rsidR="006E2E49">
        <w:t xml:space="preserve">hullámzó teljesítményt nyújtott, </w:t>
      </w:r>
      <w:r w:rsidR="00F922DB">
        <w:t>a</w:t>
      </w:r>
      <w:r w:rsidR="002758F2">
        <w:t xml:space="preserve"> </w:t>
      </w:r>
      <w:r w:rsidR="00F922DB">
        <w:t>verseny középső szakaszában (egy apró technikai változtatásnak köszönhetően</w:t>
      </w:r>
      <w:r w:rsidR="002758F2">
        <w:t>)</w:t>
      </w:r>
      <w:r w:rsidR="00F922DB">
        <w:t xml:space="preserve"> jelentősen feljavult</w:t>
      </w:r>
      <w:r w:rsidR="002758F2">
        <w:t xml:space="preserve"> </w:t>
      </w:r>
      <w:r w:rsidR="00BA253C">
        <w:t>általában</w:t>
      </w:r>
      <w:r w:rsidR="006E2E49">
        <w:t xml:space="preserve"> megbízható, </w:t>
      </w:r>
      <w:r w:rsidR="00EE1307">
        <w:t>stabil</w:t>
      </w:r>
      <w:r w:rsidR="006E2E49">
        <w:t xml:space="preserve"> játékkal, de néha </w:t>
      </w:r>
      <w:r w:rsidR="00784542">
        <w:t>egy-egy endre</w:t>
      </w:r>
      <w:r w:rsidR="006E2E49">
        <w:t xml:space="preserve"> „eltűnt”. </w:t>
      </w:r>
      <w:r w:rsidR="002758F2">
        <w:t xml:space="preserve">Az EB végére fejben kissé elfáradt, azzal együtt kifejezetten </w:t>
      </w:r>
      <w:r w:rsidR="00EE1307">
        <w:t xml:space="preserve">hasznos tagja </w:t>
      </w:r>
      <w:r w:rsidR="002758F2">
        <w:t xml:space="preserve">volt </w:t>
      </w:r>
      <w:r w:rsidR="00EE1307">
        <w:t>a csapatnak.</w:t>
      </w:r>
    </w:p>
    <w:p w:rsidR="006E2E49" w:rsidRDefault="00C36CB2" w:rsidP="00F16FDD">
      <w:pPr>
        <w:jc w:val="both"/>
      </w:pPr>
      <w:proofErr w:type="spellStart"/>
      <w:r>
        <w:rPr>
          <w:b/>
        </w:rPr>
        <w:lastRenderedPageBreak/>
        <w:t>Miklai</w:t>
      </w:r>
      <w:proofErr w:type="spellEnd"/>
      <w:r w:rsidR="002758F2">
        <w:rPr>
          <w:b/>
        </w:rPr>
        <w:t xml:space="preserve"> </w:t>
      </w:r>
      <w:r w:rsidR="006E2E49" w:rsidRPr="009A5FFA">
        <w:rPr>
          <w:b/>
        </w:rPr>
        <w:t>Heni</w:t>
      </w:r>
      <w:r w:rsidR="006E2E49">
        <w:t xml:space="preserve"> – </w:t>
      </w:r>
      <w:r w:rsidR="002758F2">
        <w:t xml:space="preserve">nehezen lendült játékba, de utána </w:t>
      </w:r>
      <w:r w:rsidR="006E2E49">
        <w:t xml:space="preserve">jó előkészítő játékot produkált, stabilan lehetett számítani a </w:t>
      </w:r>
      <w:r w:rsidR="002758F2">
        <w:t>köveire</w:t>
      </w:r>
      <w:r w:rsidR="006E2E49">
        <w:t>.</w:t>
      </w:r>
      <w:r w:rsidR="002758F2">
        <w:t xml:space="preserve"> Sajnos ő sem tudott tartósan jó teljesítményt nyújtani, néhány hullámvölgy rontotta a megítélését.</w:t>
      </w:r>
    </w:p>
    <w:p w:rsidR="006E2E49" w:rsidRDefault="00C36CB2" w:rsidP="00F16FDD">
      <w:pPr>
        <w:jc w:val="both"/>
      </w:pPr>
      <w:proofErr w:type="spellStart"/>
      <w:r>
        <w:rPr>
          <w:b/>
        </w:rPr>
        <w:t>Palancsa</w:t>
      </w:r>
      <w:proofErr w:type="spellEnd"/>
      <w:r>
        <w:rPr>
          <w:b/>
        </w:rPr>
        <w:t xml:space="preserve"> </w:t>
      </w:r>
      <w:r w:rsidR="006E2E49" w:rsidRPr="009A5FFA">
        <w:rPr>
          <w:b/>
        </w:rPr>
        <w:t>Dóri</w:t>
      </w:r>
      <w:r w:rsidR="00063629">
        <w:t xml:space="preserve"> –</w:t>
      </w:r>
      <w:r w:rsidR="00470D2C">
        <w:t xml:space="preserve"> </w:t>
      </w:r>
      <w:r w:rsidR="00063629">
        <w:t>magabiztosan</w:t>
      </w:r>
      <w:r w:rsidR="006E2E49">
        <w:t xml:space="preserve"> és taktikusan játszotta végig a versenyt. </w:t>
      </w:r>
      <w:r w:rsidR="00CF32E9">
        <w:t>A taktikában megfogadta az edzői utasításokat (talán a lengyel meccs kivételével) és r</w:t>
      </w:r>
      <w:r w:rsidR="006E2E49">
        <w:t>emekül irányította a játékot</w:t>
      </w:r>
      <w:r w:rsidR="00784542">
        <w:t xml:space="preserve">. </w:t>
      </w:r>
      <w:r w:rsidR="002758F2">
        <w:t xml:space="preserve">A stabil játék </w:t>
      </w:r>
      <w:r w:rsidR="00470D2C">
        <w:t xml:space="preserve">mellett kevés volt </w:t>
      </w:r>
      <w:r w:rsidR="002758F2">
        <w:t xml:space="preserve">a „parádé” és néha bosszantó hibák is becsúsztak a játékába. Mindazonáltal az ő játéka volt a legkiegyensúlyozottabb, mindössze egyetlen </w:t>
      </w:r>
      <w:r w:rsidR="00063629">
        <w:t>„</w:t>
      </w:r>
      <w:r w:rsidR="002758F2">
        <w:t>l</w:t>
      </w:r>
      <w:r w:rsidR="00063629">
        <w:t>y</w:t>
      </w:r>
      <w:r w:rsidR="002758F2">
        <w:t>ukas</w:t>
      </w:r>
      <w:r w:rsidR="00063629">
        <w:t>”</w:t>
      </w:r>
      <w:r w:rsidR="002758F2">
        <w:t xml:space="preserve"> meccse volt (sajnos az pont a szlovákok elleni utolsó alapszakasz mérkőzés).</w:t>
      </w:r>
    </w:p>
    <w:p w:rsidR="005D0CC2" w:rsidRDefault="00DC3833" w:rsidP="00F16FDD">
      <w:pPr>
        <w:jc w:val="both"/>
      </w:pPr>
      <w:r>
        <w:t xml:space="preserve">A csapat fizikuma és állóképessége </w:t>
      </w:r>
      <w:r w:rsidR="00063629">
        <w:t>az előző öt évhez képest még jobb</w:t>
      </w:r>
      <w:r>
        <w:t xml:space="preserve"> volt, nem voltak </w:t>
      </w:r>
      <w:r w:rsidR="00470D2C">
        <w:t xml:space="preserve">tapasztalhatóak </w:t>
      </w:r>
      <w:r>
        <w:t xml:space="preserve">fáradtságból eredő holtpontok. </w:t>
      </w:r>
    </w:p>
    <w:p w:rsidR="005D0CC2" w:rsidRDefault="004B4E97" w:rsidP="00F16FDD">
      <w:pPr>
        <w:jc w:val="both"/>
      </w:pPr>
      <w:r>
        <w:t xml:space="preserve">A szállás kitűnő volt, kényelmével biztosította a mérkőzések közötti regenerálódást. </w:t>
      </w:r>
      <w:r w:rsidR="005D0CC2">
        <w:t>A bérelt busszal kötetlenül tudtunk mozogni, akár a mérkőzésekre, akár egyéb programokra.</w:t>
      </w:r>
    </w:p>
    <w:p w:rsidR="004B4E97" w:rsidRDefault="004B4E97" w:rsidP="00F16FDD">
      <w:pPr>
        <w:jc w:val="both"/>
      </w:pPr>
      <w:r>
        <w:t xml:space="preserve">A szervezés hibátlan volt, </w:t>
      </w:r>
      <w:r w:rsidR="005D0CC2">
        <w:t xml:space="preserve">bár az időmérés és a </w:t>
      </w:r>
      <w:proofErr w:type="spellStart"/>
      <w:r w:rsidR="005D0CC2">
        <w:t>ledes</w:t>
      </w:r>
      <w:proofErr w:type="spellEnd"/>
      <w:r w:rsidR="005D0CC2">
        <w:t xml:space="preserve"> markolatok hiánya néha megnehezítette a csapatok és főleg a bírók dolgát</w:t>
      </w:r>
      <w:r>
        <w:t>.</w:t>
      </w:r>
    </w:p>
    <w:p w:rsidR="009A5FFA" w:rsidRDefault="009A5FFA" w:rsidP="00F16FDD">
      <w:pPr>
        <w:jc w:val="both"/>
      </w:pPr>
      <w:r>
        <w:t xml:space="preserve">Ezúton szeretném megköszönni az </w:t>
      </w:r>
      <w:proofErr w:type="spellStart"/>
      <w:r>
        <w:t>MCSZ-nek</w:t>
      </w:r>
      <w:proofErr w:type="spellEnd"/>
      <w:r>
        <w:t xml:space="preserve"> és az </w:t>
      </w:r>
      <w:proofErr w:type="spellStart"/>
      <w:r>
        <w:t>UTE-nak</w:t>
      </w:r>
      <w:proofErr w:type="spellEnd"/>
      <w:r w:rsidR="005D0CC2">
        <w:t xml:space="preserve">, valamint az </w:t>
      </w:r>
      <w:proofErr w:type="spellStart"/>
      <w:r w:rsidR="005D0CC2">
        <w:t>ASHAM-nak</w:t>
      </w:r>
      <w:proofErr w:type="spellEnd"/>
      <w:r w:rsidR="005D0CC2">
        <w:t>, és a VIWA víznek</w:t>
      </w:r>
      <w:r>
        <w:t xml:space="preserve"> az egész éves támogatást!</w:t>
      </w:r>
    </w:p>
    <w:p w:rsidR="009A5FFA" w:rsidRDefault="009A5FFA" w:rsidP="00F16FDD">
      <w:pPr>
        <w:jc w:val="both"/>
      </w:pPr>
    </w:p>
    <w:p w:rsidR="009A5FFA" w:rsidRDefault="009A5FFA" w:rsidP="00F16FDD">
      <w:pPr>
        <w:jc w:val="both"/>
      </w:pPr>
      <w:r>
        <w:t>201</w:t>
      </w:r>
      <w:r w:rsidR="005D0CC2">
        <w:t>9</w:t>
      </w:r>
      <w:r>
        <w:t xml:space="preserve">. </w:t>
      </w:r>
      <w:r w:rsidR="005D0CC2">
        <w:t>dec</w:t>
      </w:r>
      <w:r w:rsidR="00C36CB2">
        <w:t>e</w:t>
      </w:r>
      <w:r>
        <w:t xml:space="preserve">mber </w:t>
      </w:r>
      <w:r w:rsidR="005D0CC2">
        <w:t>16</w:t>
      </w:r>
      <w:r>
        <w:t>.</w:t>
      </w:r>
    </w:p>
    <w:p w:rsidR="00EE1307" w:rsidRDefault="00EE1307" w:rsidP="00F16FDD">
      <w:pPr>
        <w:jc w:val="both"/>
      </w:pPr>
    </w:p>
    <w:p w:rsidR="00EE1307" w:rsidRDefault="00EE1307" w:rsidP="00F16FDD">
      <w:pPr>
        <w:jc w:val="both"/>
      </w:pPr>
    </w:p>
    <w:sectPr w:rsidR="00EE1307" w:rsidSect="004B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6C5"/>
    <w:multiLevelType w:val="hybridMultilevel"/>
    <w:tmpl w:val="36BE5F34"/>
    <w:lvl w:ilvl="0" w:tplc="393285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6724E"/>
    <w:multiLevelType w:val="hybridMultilevel"/>
    <w:tmpl w:val="07082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A2C20"/>
    <w:rsid w:val="00063629"/>
    <w:rsid w:val="000A6131"/>
    <w:rsid w:val="000A71A8"/>
    <w:rsid w:val="000C5798"/>
    <w:rsid w:val="000D011D"/>
    <w:rsid w:val="00187BD0"/>
    <w:rsid w:val="001F7EC5"/>
    <w:rsid w:val="0024651E"/>
    <w:rsid w:val="00250596"/>
    <w:rsid w:val="002758F2"/>
    <w:rsid w:val="002A2C20"/>
    <w:rsid w:val="002C432A"/>
    <w:rsid w:val="00323256"/>
    <w:rsid w:val="003F4086"/>
    <w:rsid w:val="00470D2C"/>
    <w:rsid w:val="004A465E"/>
    <w:rsid w:val="004A7F88"/>
    <w:rsid w:val="004B4E97"/>
    <w:rsid w:val="004B5248"/>
    <w:rsid w:val="004C4177"/>
    <w:rsid w:val="004D0822"/>
    <w:rsid w:val="004D09C8"/>
    <w:rsid w:val="00575A9D"/>
    <w:rsid w:val="00580EC6"/>
    <w:rsid w:val="00587117"/>
    <w:rsid w:val="00597676"/>
    <w:rsid w:val="005D0CC2"/>
    <w:rsid w:val="005D68D0"/>
    <w:rsid w:val="006169EB"/>
    <w:rsid w:val="006D2B46"/>
    <w:rsid w:val="006E2E49"/>
    <w:rsid w:val="006E4CAD"/>
    <w:rsid w:val="00733175"/>
    <w:rsid w:val="007402A1"/>
    <w:rsid w:val="00784542"/>
    <w:rsid w:val="007A16D7"/>
    <w:rsid w:val="007D7D6C"/>
    <w:rsid w:val="00843BFE"/>
    <w:rsid w:val="00873FD1"/>
    <w:rsid w:val="008A4F2C"/>
    <w:rsid w:val="008E390A"/>
    <w:rsid w:val="00915B42"/>
    <w:rsid w:val="00946B51"/>
    <w:rsid w:val="00985CB5"/>
    <w:rsid w:val="009A5FFA"/>
    <w:rsid w:val="009B7E63"/>
    <w:rsid w:val="00A67775"/>
    <w:rsid w:val="00AA44A0"/>
    <w:rsid w:val="00B22DEC"/>
    <w:rsid w:val="00B43BEC"/>
    <w:rsid w:val="00BA253C"/>
    <w:rsid w:val="00BB702C"/>
    <w:rsid w:val="00BB7347"/>
    <w:rsid w:val="00BC5E1D"/>
    <w:rsid w:val="00C36CB2"/>
    <w:rsid w:val="00C450AE"/>
    <w:rsid w:val="00CF32E9"/>
    <w:rsid w:val="00D30A98"/>
    <w:rsid w:val="00D3561B"/>
    <w:rsid w:val="00D54984"/>
    <w:rsid w:val="00DC3833"/>
    <w:rsid w:val="00DD02EB"/>
    <w:rsid w:val="00E21418"/>
    <w:rsid w:val="00E867D5"/>
    <w:rsid w:val="00EE1307"/>
    <w:rsid w:val="00F16FDD"/>
    <w:rsid w:val="00F259B7"/>
    <w:rsid w:val="00F63764"/>
    <w:rsid w:val="00F9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5248"/>
  </w:style>
  <w:style w:type="paragraph" w:styleId="Cmsor2">
    <w:name w:val="heading 2"/>
    <w:basedOn w:val="Norml"/>
    <w:link w:val="Cmsor2Char"/>
    <w:uiPriority w:val="9"/>
    <w:qFormat/>
    <w:rsid w:val="007331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2C20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73317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1036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Zoltan</cp:lastModifiedBy>
  <cp:revision>19</cp:revision>
  <dcterms:created xsi:type="dcterms:W3CDTF">2018-11-12T14:47:00Z</dcterms:created>
  <dcterms:modified xsi:type="dcterms:W3CDTF">2019-12-17T13:42:00Z</dcterms:modified>
</cp:coreProperties>
</file>